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32" w:rsidRPr="00377B2E" w:rsidRDefault="002E5F32" w:rsidP="002E5F32">
      <w:pPr>
        <w:jc w:val="center"/>
        <w:rPr>
          <w:b/>
          <w:u w:val="single"/>
        </w:rPr>
      </w:pPr>
      <w:r w:rsidRPr="00377B2E">
        <w:rPr>
          <w:b/>
          <w:u w:val="single"/>
        </w:rPr>
        <w:t>Resumen de Argumentos en cuanto a la venta libre de medicamentos OTC</w:t>
      </w:r>
    </w:p>
    <w:p w:rsidR="00377B2E" w:rsidRPr="00087705" w:rsidRDefault="00377B2E" w:rsidP="00377B2E">
      <w:pPr>
        <w:rPr>
          <w:i/>
          <w:sz w:val="21"/>
          <w:szCs w:val="21"/>
        </w:rPr>
      </w:pPr>
      <w:r w:rsidRPr="00087705">
        <w:rPr>
          <w:i/>
          <w:sz w:val="21"/>
          <w:szCs w:val="21"/>
        </w:rPr>
        <w:t>Palabras Claves</w:t>
      </w:r>
    </w:p>
    <w:p w:rsidR="00B5708D" w:rsidRPr="00087705" w:rsidRDefault="00377B2E" w:rsidP="00377B2E">
      <w:pPr>
        <w:jc w:val="both"/>
        <w:rPr>
          <w:sz w:val="21"/>
          <w:szCs w:val="21"/>
        </w:rPr>
      </w:pPr>
      <w:r w:rsidRPr="00087705">
        <w:rPr>
          <w:b/>
          <w:sz w:val="21"/>
          <w:szCs w:val="21"/>
        </w:rPr>
        <w:t>OTC</w:t>
      </w:r>
      <w:r w:rsidRPr="00087705">
        <w:rPr>
          <w:sz w:val="21"/>
          <w:szCs w:val="21"/>
        </w:rPr>
        <w:t>: Pese a que no existe esta denominación en nuestra legislación, en Chile los OTC son medicamentos de venta sin receta. En estados Unidos  estos se venden fuera del   mesón.</w:t>
      </w:r>
    </w:p>
    <w:p w:rsidR="00377B2E" w:rsidRPr="00087705" w:rsidRDefault="00377B2E" w:rsidP="00B5708D">
      <w:pPr>
        <w:rPr>
          <w:sz w:val="21"/>
          <w:szCs w:val="21"/>
        </w:rPr>
      </w:pPr>
      <w:r w:rsidRPr="00087705">
        <w:rPr>
          <w:b/>
          <w:sz w:val="21"/>
          <w:szCs w:val="21"/>
        </w:rPr>
        <w:t>Genéricos</w:t>
      </w:r>
      <w:r w:rsidRPr="00087705">
        <w:rPr>
          <w:sz w:val="21"/>
          <w:szCs w:val="21"/>
        </w:rPr>
        <w:t xml:space="preserve">: Medicamentos que se venden con o sin receta, dependiendo del principio activo.  No tienen marca registrada, y pueden comercializarse una vez que la patente original vence. </w:t>
      </w:r>
      <w:r w:rsidRPr="00087705">
        <w:rPr>
          <w:sz w:val="21"/>
          <w:szCs w:val="21"/>
        </w:rPr>
        <w:br/>
        <w:t xml:space="preserve"> Ejemplo: </w:t>
      </w:r>
      <w:proofErr w:type="spellStart"/>
      <w:r w:rsidRPr="00087705">
        <w:rPr>
          <w:sz w:val="21"/>
          <w:szCs w:val="21"/>
        </w:rPr>
        <w:t>Lipitor</w:t>
      </w:r>
      <w:proofErr w:type="spellEnd"/>
      <w:r w:rsidRPr="00087705">
        <w:rPr>
          <w:sz w:val="21"/>
          <w:szCs w:val="21"/>
        </w:rPr>
        <w:t xml:space="preserve"> (de marca), </w:t>
      </w:r>
      <w:proofErr w:type="spellStart"/>
      <w:r w:rsidRPr="00087705">
        <w:rPr>
          <w:sz w:val="21"/>
          <w:szCs w:val="21"/>
        </w:rPr>
        <w:t>atorvastatina</w:t>
      </w:r>
      <w:proofErr w:type="spellEnd"/>
      <w:r w:rsidRPr="00087705">
        <w:rPr>
          <w:sz w:val="21"/>
          <w:szCs w:val="21"/>
        </w:rPr>
        <w:t xml:space="preserve"> (genérico). Ambos tienen el mismo principio activo</w:t>
      </w:r>
    </w:p>
    <w:p w:rsidR="00377B2E" w:rsidRPr="00087705" w:rsidRDefault="00377B2E" w:rsidP="00B5708D">
      <w:pPr>
        <w:rPr>
          <w:sz w:val="21"/>
          <w:szCs w:val="21"/>
        </w:rPr>
      </w:pPr>
      <w:r w:rsidRPr="00087705">
        <w:rPr>
          <w:b/>
          <w:sz w:val="21"/>
          <w:szCs w:val="21"/>
        </w:rPr>
        <w:t>Similar</w:t>
      </w:r>
      <w:r w:rsidRPr="00087705">
        <w:rPr>
          <w:sz w:val="21"/>
          <w:szCs w:val="21"/>
        </w:rPr>
        <w:t xml:space="preserve">: Medicamentos que se venden con o sin receta. No son los originales, pero tienen marca registrada, y por lo tanto nombre de </w:t>
      </w:r>
      <w:proofErr w:type="spellStart"/>
      <w:r w:rsidRPr="00087705">
        <w:rPr>
          <w:sz w:val="21"/>
          <w:szCs w:val="21"/>
        </w:rPr>
        <w:t>fantasia</w:t>
      </w:r>
      <w:proofErr w:type="spellEnd"/>
      <w:r w:rsidRPr="00087705">
        <w:rPr>
          <w:sz w:val="21"/>
          <w:szCs w:val="21"/>
        </w:rPr>
        <w:t xml:space="preserve">. </w:t>
      </w:r>
      <w:r w:rsidRPr="00087705">
        <w:rPr>
          <w:sz w:val="21"/>
          <w:szCs w:val="21"/>
        </w:rPr>
        <w:br/>
        <w:t xml:space="preserve">Ejemplo </w:t>
      </w:r>
      <w:proofErr w:type="spellStart"/>
      <w:r w:rsidRPr="00087705">
        <w:rPr>
          <w:sz w:val="21"/>
          <w:szCs w:val="21"/>
        </w:rPr>
        <w:t>Lipitor</w:t>
      </w:r>
      <w:proofErr w:type="spellEnd"/>
      <w:r w:rsidRPr="00087705">
        <w:rPr>
          <w:sz w:val="21"/>
          <w:szCs w:val="21"/>
        </w:rPr>
        <w:t xml:space="preserve"> (de marca), </w:t>
      </w:r>
      <w:proofErr w:type="spellStart"/>
      <w:r w:rsidRPr="00087705">
        <w:rPr>
          <w:sz w:val="21"/>
          <w:szCs w:val="21"/>
        </w:rPr>
        <w:t>Lipotropic</w:t>
      </w:r>
      <w:proofErr w:type="spellEnd"/>
      <w:r w:rsidRPr="00087705">
        <w:rPr>
          <w:sz w:val="21"/>
          <w:szCs w:val="21"/>
        </w:rPr>
        <w:t xml:space="preserve"> (similar), </w:t>
      </w:r>
      <w:proofErr w:type="spellStart"/>
      <w:r w:rsidRPr="00087705">
        <w:rPr>
          <w:sz w:val="21"/>
          <w:szCs w:val="21"/>
        </w:rPr>
        <w:t>Atorvastatina</w:t>
      </w:r>
      <w:proofErr w:type="spellEnd"/>
      <w:r w:rsidRPr="00087705">
        <w:rPr>
          <w:sz w:val="21"/>
          <w:szCs w:val="21"/>
        </w:rPr>
        <w:t xml:space="preserve"> (genérico)</w:t>
      </w:r>
    </w:p>
    <w:p w:rsidR="002E5F32" w:rsidRPr="00087705" w:rsidRDefault="002E5F32" w:rsidP="002E5F32">
      <w:pPr>
        <w:jc w:val="both"/>
        <w:rPr>
          <w:rFonts w:cstheme="minorHAnsi"/>
          <w:sz w:val="21"/>
          <w:szCs w:val="21"/>
          <w:lang w:val="es-ES_tradnl"/>
        </w:rPr>
      </w:pPr>
      <w:r w:rsidRPr="00087705">
        <w:rPr>
          <w:rFonts w:cstheme="minorHAnsi"/>
          <w:sz w:val="21"/>
          <w:szCs w:val="21"/>
        </w:rPr>
        <w:t xml:space="preserve">1.-  </w:t>
      </w:r>
      <w:r w:rsidRPr="00087705">
        <w:rPr>
          <w:rFonts w:cstheme="minorHAnsi"/>
          <w:b/>
          <w:sz w:val="21"/>
          <w:szCs w:val="21"/>
          <w:lang w:val="es-ES_tradnl"/>
        </w:rPr>
        <w:t>Caso de Argentina</w:t>
      </w:r>
      <w:r w:rsidRPr="00087705">
        <w:rPr>
          <w:rFonts w:cstheme="minorHAnsi"/>
          <w:sz w:val="21"/>
          <w:szCs w:val="21"/>
          <w:lang w:val="es-ES_tradnl"/>
        </w:rPr>
        <w:t>:</w:t>
      </w:r>
      <w:r w:rsidRPr="00087705">
        <w:rPr>
          <w:rFonts w:cstheme="minorHAnsi"/>
          <w:sz w:val="21"/>
          <w:szCs w:val="21"/>
          <w:lang w:val="es-ES_tradnl"/>
        </w:rPr>
        <w:t xml:space="preserve"> la liberalización del mercado </w:t>
      </w:r>
      <w:r w:rsidRPr="00087705">
        <w:rPr>
          <w:rFonts w:cstheme="minorHAnsi"/>
          <w:sz w:val="21"/>
          <w:szCs w:val="21"/>
          <w:lang w:val="es-ES_tradnl"/>
        </w:rPr>
        <w:t xml:space="preserve">produjo consecuencias </w:t>
      </w:r>
      <w:r w:rsidR="00377B2E" w:rsidRPr="00087705">
        <w:rPr>
          <w:rFonts w:cstheme="minorHAnsi"/>
          <w:sz w:val="21"/>
          <w:szCs w:val="21"/>
          <w:lang w:val="es-ES_tradnl"/>
        </w:rPr>
        <w:t>negativas</w:t>
      </w:r>
      <w:r w:rsidRPr="00087705">
        <w:rPr>
          <w:rFonts w:cstheme="minorHAnsi"/>
          <w:sz w:val="21"/>
          <w:szCs w:val="21"/>
          <w:lang w:val="es-ES_tradnl"/>
        </w:rPr>
        <w:t>. L</w:t>
      </w:r>
      <w:r w:rsidRPr="00087705">
        <w:rPr>
          <w:rFonts w:cstheme="minorHAnsi"/>
          <w:sz w:val="21"/>
          <w:szCs w:val="21"/>
          <w:lang w:val="es-ES_tradnl"/>
        </w:rPr>
        <w:t xml:space="preserve">a Cámara de Diputados </w:t>
      </w:r>
      <w:r w:rsidRPr="00087705">
        <w:rPr>
          <w:rFonts w:cstheme="minorHAnsi"/>
          <w:sz w:val="21"/>
          <w:szCs w:val="21"/>
          <w:lang w:val="es-ES_tradnl"/>
        </w:rPr>
        <w:t>tuvo que</w:t>
      </w:r>
      <w:r w:rsidRPr="00087705">
        <w:rPr>
          <w:rFonts w:cstheme="minorHAnsi"/>
          <w:sz w:val="21"/>
          <w:szCs w:val="21"/>
          <w:lang w:val="es-ES_tradnl"/>
        </w:rPr>
        <w:t xml:space="preserve"> </w:t>
      </w:r>
      <w:r w:rsidRPr="00087705">
        <w:rPr>
          <w:rFonts w:cstheme="minorHAnsi"/>
          <w:sz w:val="21"/>
          <w:szCs w:val="21"/>
          <w:lang w:val="es-ES_tradnl"/>
        </w:rPr>
        <w:t>derogar</w:t>
      </w:r>
      <w:r w:rsidRPr="00087705">
        <w:rPr>
          <w:rFonts w:cstheme="minorHAnsi"/>
          <w:sz w:val="21"/>
          <w:szCs w:val="21"/>
          <w:lang w:val="es-ES_tradnl"/>
        </w:rPr>
        <w:t xml:space="preserve"> </w:t>
      </w:r>
      <w:r w:rsidRPr="00087705">
        <w:rPr>
          <w:rFonts w:cstheme="minorHAnsi"/>
          <w:sz w:val="21"/>
          <w:szCs w:val="21"/>
          <w:lang w:val="es-ES_tradnl"/>
        </w:rPr>
        <w:t>la</w:t>
      </w:r>
      <w:r w:rsidRPr="00087705">
        <w:rPr>
          <w:rFonts w:cstheme="minorHAnsi"/>
          <w:sz w:val="21"/>
          <w:szCs w:val="21"/>
          <w:lang w:val="es-ES_tradnl"/>
        </w:rPr>
        <w:t xml:space="preserve"> medida.</w:t>
      </w:r>
      <w:r w:rsidR="00377B2E" w:rsidRPr="00087705">
        <w:rPr>
          <w:rFonts w:cstheme="minorHAnsi"/>
          <w:sz w:val="21"/>
          <w:szCs w:val="21"/>
          <w:lang w:val="es-ES_tradnl"/>
        </w:rPr>
        <w:t xml:space="preserve"> S</w:t>
      </w:r>
      <w:r w:rsidRPr="00087705">
        <w:rPr>
          <w:rFonts w:cstheme="minorHAnsi"/>
          <w:sz w:val="21"/>
          <w:szCs w:val="21"/>
          <w:lang w:val="es-ES_tradnl"/>
        </w:rPr>
        <w:t xml:space="preserve">egún el Instituto Argentino de Atención Farmacéutica, se estiman unas </w:t>
      </w:r>
      <w:r w:rsidRPr="00087705">
        <w:rPr>
          <w:rFonts w:cstheme="minorHAnsi"/>
          <w:b/>
          <w:sz w:val="21"/>
          <w:szCs w:val="21"/>
          <w:lang w:val="es-ES_tradnl"/>
        </w:rPr>
        <w:t>7.000 muertes y más de 30.000 hospitalizaciones</w:t>
      </w:r>
      <w:r w:rsidRPr="00087705">
        <w:rPr>
          <w:rFonts w:cstheme="minorHAnsi"/>
          <w:sz w:val="21"/>
          <w:szCs w:val="21"/>
          <w:lang w:val="es-ES_tradnl"/>
        </w:rPr>
        <w:t xml:space="preserve"> cada año desde l</w:t>
      </w:r>
      <w:r w:rsidR="00377B2E" w:rsidRPr="00087705">
        <w:rPr>
          <w:rFonts w:cstheme="minorHAnsi"/>
          <w:sz w:val="21"/>
          <w:szCs w:val="21"/>
          <w:lang w:val="es-ES_tradnl"/>
        </w:rPr>
        <w:t xml:space="preserve">a implementación de esta medida. </w:t>
      </w:r>
      <w:r w:rsidRPr="00087705">
        <w:rPr>
          <w:rFonts w:cstheme="minorHAnsi"/>
          <w:sz w:val="21"/>
          <w:szCs w:val="21"/>
          <w:lang w:val="es-ES_tradnl"/>
        </w:rPr>
        <w:t xml:space="preserve"> </w:t>
      </w:r>
      <w:r w:rsidR="00377B2E" w:rsidRPr="00087705">
        <w:rPr>
          <w:rFonts w:cstheme="minorHAnsi"/>
          <w:sz w:val="21"/>
          <w:szCs w:val="21"/>
          <w:lang w:val="es-ES_tradnl"/>
        </w:rPr>
        <w:t>L</w:t>
      </w:r>
      <w:r w:rsidRPr="00087705">
        <w:rPr>
          <w:rFonts w:cstheme="minorHAnsi"/>
          <w:sz w:val="21"/>
          <w:szCs w:val="21"/>
          <w:lang w:val="es-ES_tradnl"/>
        </w:rPr>
        <w:t xml:space="preserve">os medicamentos </w:t>
      </w:r>
      <w:r w:rsidRPr="00087705">
        <w:rPr>
          <w:rFonts w:cstheme="minorHAnsi"/>
          <w:b/>
          <w:sz w:val="21"/>
          <w:szCs w:val="21"/>
          <w:lang w:val="es-ES_tradnl"/>
        </w:rPr>
        <w:t>no bajaron de precio</w:t>
      </w:r>
      <w:r w:rsidRPr="00087705">
        <w:rPr>
          <w:rFonts w:cstheme="minorHAnsi"/>
          <w:sz w:val="21"/>
          <w:szCs w:val="21"/>
          <w:lang w:val="es-ES_tradnl"/>
        </w:rPr>
        <w:t xml:space="preserve">, sino que </w:t>
      </w:r>
      <w:r w:rsidRPr="00087705">
        <w:rPr>
          <w:rFonts w:cstheme="minorHAnsi"/>
          <w:b/>
          <w:sz w:val="21"/>
          <w:szCs w:val="21"/>
          <w:lang w:val="es-ES_tradnl"/>
        </w:rPr>
        <w:t>aumentaron en un 140%</w:t>
      </w:r>
      <w:r w:rsidRPr="00087705">
        <w:rPr>
          <w:rFonts w:cstheme="minorHAnsi"/>
          <w:sz w:val="21"/>
          <w:szCs w:val="21"/>
          <w:lang w:val="es-ES_tradnl"/>
        </w:rPr>
        <w:t xml:space="preserve"> durante un periodo de 10 a</w:t>
      </w:r>
      <w:r w:rsidR="007D7358" w:rsidRPr="00087705">
        <w:rPr>
          <w:rFonts w:cstheme="minorHAnsi"/>
          <w:sz w:val="21"/>
          <w:szCs w:val="21"/>
          <w:lang w:val="es-ES_tradnl"/>
        </w:rPr>
        <w:t>ños. A lo anterior se suma que</w:t>
      </w:r>
      <w:r w:rsidRPr="00087705">
        <w:rPr>
          <w:rFonts w:cstheme="minorHAnsi"/>
          <w:sz w:val="21"/>
          <w:szCs w:val="21"/>
          <w:lang w:val="es-ES_tradnl"/>
        </w:rPr>
        <w:t xml:space="preserve"> un 8% de las internaciones genera un 20% del gasto de obras sociales, </w:t>
      </w:r>
      <w:r w:rsidR="007D7358" w:rsidRPr="00087705">
        <w:rPr>
          <w:rFonts w:cstheme="minorHAnsi"/>
          <w:sz w:val="21"/>
          <w:szCs w:val="21"/>
          <w:lang w:val="es-ES_tradnl"/>
        </w:rPr>
        <w:t xml:space="preserve">y que estas </w:t>
      </w:r>
      <w:r w:rsidRPr="00087705">
        <w:rPr>
          <w:rFonts w:cstheme="minorHAnsi"/>
          <w:sz w:val="21"/>
          <w:szCs w:val="21"/>
          <w:lang w:val="es-ES_tradnl"/>
        </w:rPr>
        <w:t xml:space="preserve">en su mayoría, son producidas por mal uso de medicamentos. </w:t>
      </w:r>
      <w:r w:rsidRPr="00087705">
        <w:rPr>
          <w:rStyle w:val="Refdenotaalfinal"/>
          <w:rFonts w:cstheme="minorHAnsi"/>
          <w:sz w:val="21"/>
          <w:szCs w:val="21"/>
          <w:lang w:val="es-ES_tradnl"/>
        </w:rPr>
        <w:endnoteReference w:id="1"/>
      </w:r>
      <w:r w:rsidRPr="00087705">
        <w:rPr>
          <w:rFonts w:cstheme="minorHAnsi"/>
          <w:b/>
          <w:sz w:val="21"/>
          <w:szCs w:val="21"/>
          <w:lang w:val="es-ES_tradnl"/>
        </w:rPr>
        <w:t>En Estados Unidos</w:t>
      </w:r>
      <w:r w:rsidRPr="00087705">
        <w:rPr>
          <w:rFonts w:cstheme="minorHAnsi"/>
          <w:sz w:val="21"/>
          <w:szCs w:val="21"/>
          <w:lang w:val="es-ES_tradnl"/>
        </w:rPr>
        <w:t xml:space="preserve">, el costo directo de morbilidad y mortalidad asociadas a fármacos superó </w:t>
      </w:r>
      <w:r w:rsidRPr="00087705">
        <w:rPr>
          <w:rFonts w:cstheme="minorHAnsi"/>
          <w:b/>
          <w:sz w:val="21"/>
          <w:szCs w:val="21"/>
          <w:lang w:val="es-ES_tradnl"/>
        </w:rPr>
        <w:t>el año 2000 los 177000 millones de dólares</w:t>
      </w:r>
      <w:r w:rsidRPr="00087705">
        <w:rPr>
          <w:rFonts w:cstheme="minorHAnsi"/>
          <w:sz w:val="21"/>
          <w:szCs w:val="21"/>
          <w:lang w:val="es-ES_tradnl"/>
        </w:rPr>
        <w:t xml:space="preserve">, mientras que el costo de </w:t>
      </w:r>
      <w:r w:rsidRPr="00087705">
        <w:rPr>
          <w:rFonts w:cstheme="minorHAnsi"/>
          <w:b/>
          <w:sz w:val="21"/>
          <w:szCs w:val="21"/>
          <w:lang w:val="es-ES_tradnl"/>
        </w:rPr>
        <w:t>estas hospitalizaciones alcanza el 70% del costo total</w:t>
      </w:r>
      <w:r w:rsidRPr="00087705">
        <w:rPr>
          <w:rStyle w:val="Refdenotaalfinal"/>
          <w:rFonts w:cstheme="minorHAnsi"/>
          <w:sz w:val="21"/>
          <w:szCs w:val="21"/>
          <w:lang w:val="es-ES_tradnl"/>
        </w:rPr>
        <w:endnoteReference w:id="2"/>
      </w:r>
      <w:r w:rsidRPr="00087705">
        <w:rPr>
          <w:rFonts w:cstheme="minorHAnsi"/>
          <w:sz w:val="21"/>
          <w:szCs w:val="21"/>
          <w:lang w:val="es-ES_tradnl"/>
        </w:rPr>
        <w:t xml:space="preserve">. </w:t>
      </w:r>
    </w:p>
    <w:p w:rsidR="002E5F32" w:rsidRPr="00087705" w:rsidRDefault="002E5F32" w:rsidP="002E5F32">
      <w:pPr>
        <w:jc w:val="both"/>
        <w:rPr>
          <w:rFonts w:cstheme="minorHAnsi"/>
          <w:sz w:val="21"/>
          <w:szCs w:val="21"/>
          <w:lang w:val="es-ES_tradnl"/>
        </w:rPr>
      </w:pPr>
      <w:r w:rsidRPr="00087705">
        <w:rPr>
          <w:rFonts w:cstheme="minorHAnsi"/>
          <w:sz w:val="21"/>
          <w:szCs w:val="21"/>
          <w:lang w:val="es-ES_tradnl"/>
        </w:rPr>
        <w:t>2-</w:t>
      </w:r>
      <w:r w:rsidR="0048144C" w:rsidRPr="00087705">
        <w:rPr>
          <w:rFonts w:cstheme="minorHAnsi"/>
          <w:sz w:val="21"/>
          <w:szCs w:val="21"/>
          <w:lang w:val="es-ES_tradnl"/>
        </w:rPr>
        <w:t xml:space="preserve"> Aunque a</w:t>
      </w:r>
      <w:r w:rsidRPr="00087705">
        <w:rPr>
          <w:rFonts w:cstheme="minorHAnsi"/>
          <w:sz w:val="21"/>
          <w:szCs w:val="21"/>
          <w:lang w:val="es-ES_tradnl"/>
        </w:rPr>
        <w:t>ctualmente</w:t>
      </w:r>
      <w:r w:rsidR="0048144C" w:rsidRPr="00087705">
        <w:rPr>
          <w:rFonts w:cstheme="minorHAnsi"/>
          <w:sz w:val="21"/>
          <w:szCs w:val="21"/>
          <w:lang w:val="es-ES_tradnl"/>
        </w:rPr>
        <w:t xml:space="preserve"> se están esfuerzos en </w:t>
      </w:r>
      <w:proofErr w:type="spellStart"/>
      <w:r w:rsidR="007D7358" w:rsidRPr="00087705">
        <w:rPr>
          <w:rFonts w:cstheme="minorHAnsi"/>
          <w:sz w:val="21"/>
          <w:szCs w:val="21"/>
          <w:lang w:val="es-ES_tradnl"/>
        </w:rPr>
        <w:t>farmaco</w:t>
      </w:r>
      <w:r w:rsidR="0048144C" w:rsidRPr="00087705">
        <w:rPr>
          <w:rFonts w:cstheme="minorHAnsi"/>
          <w:sz w:val="21"/>
          <w:szCs w:val="21"/>
          <w:lang w:val="es-ES_tradnl"/>
        </w:rPr>
        <w:t>vigilancia</w:t>
      </w:r>
      <w:proofErr w:type="spellEnd"/>
      <w:r w:rsidR="0048144C" w:rsidRPr="00087705">
        <w:rPr>
          <w:rFonts w:cstheme="minorHAnsi"/>
          <w:sz w:val="21"/>
          <w:szCs w:val="21"/>
          <w:lang w:val="es-ES_tradnl"/>
        </w:rPr>
        <w:t>, no existe aún un sistema</w:t>
      </w:r>
      <w:r w:rsidRPr="00087705">
        <w:rPr>
          <w:rFonts w:cstheme="minorHAnsi"/>
          <w:sz w:val="21"/>
          <w:szCs w:val="21"/>
          <w:lang w:val="es-ES_tradnl"/>
        </w:rPr>
        <w:t xml:space="preserve"> registro </w:t>
      </w:r>
      <w:r w:rsidR="0048144C" w:rsidRPr="00087705">
        <w:rPr>
          <w:rFonts w:cstheme="minorHAnsi"/>
          <w:sz w:val="21"/>
          <w:szCs w:val="21"/>
          <w:lang w:val="es-ES_tradnl"/>
        </w:rPr>
        <w:t xml:space="preserve">eficiente </w:t>
      </w:r>
      <w:r w:rsidRPr="00087705">
        <w:rPr>
          <w:rFonts w:cstheme="minorHAnsi"/>
          <w:sz w:val="21"/>
          <w:szCs w:val="21"/>
          <w:lang w:val="es-ES_tradnl"/>
        </w:rPr>
        <w:t>de intoxicaciones y efec</w:t>
      </w:r>
      <w:r w:rsidR="0048144C" w:rsidRPr="00087705">
        <w:rPr>
          <w:rFonts w:cstheme="minorHAnsi"/>
          <w:sz w:val="21"/>
          <w:szCs w:val="21"/>
          <w:lang w:val="es-ES_tradnl"/>
        </w:rPr>
        <w:t>tos adversos</w:t>
      </w:r>
      <w:r w:rsidRPr="00087705">
        <w:rPr>
          <w:rFonts w:cstheme="minorHAnsi"/>
          <w:sz w:val="21"/>
          <w:szCs w:val="21"/>
          <w:lang w:val="es-ES_tradnl"/>
        </w:rPr>
        <w:t xml:space="preserve">. Este hecho se evidencia en la observación de que CITUC </w:t>
      </w:r>
      <w:r w:rsidRPr="00087705">
        <w:rPr>
          <w:rStyle w:val="Refdenotaalfinal"/>
          <w:rFonts w:cstheme="minorHAnsi"/>
          <w:sz w:val="21"/>
          <w:szCs w:val="21"/>
          <w:lang w:val="es-ES_tradnl"/>
        </w:rPr>
        <w:endnoteReference w:id="3"/>
      </w:r>
      <w:r w:rsidRPr="00087705">
        <w:rPr>
          <w:rFonts w:cstheme="minorHAnsi"/>
          <w:sz w:val="21"/>
          <w:szCs w:val="21"/>
          <w:lang w:val="es-ES_tradnl"/>
        </w:rPr>
        <w:t xml:space="preserve">(Centro de Información Toxicológica de la Universidad Católica de Chile), </w:t>
      </w:r>
      <w:r w:rsidRPr="00087705">
        <w:rPr>
          <w:rFonts w:cstheme="minorHAnsi"/>
          <w:b/>
          <w:sz w:val="21"/>
          <w:szCs w:val="21"/>
          <w:lang w:val="es-ES_tradnl"/>
        </w:rPr>
        <w:t>un organismo independiente y privado, presenta mayor notificación que el organismo oficial del Estado</w:t>
      </w:r>
      <w:r w:rsidRPr="00087705">
        <w:rPr>
          <w:rFonts w:cstheme="minorHAnsi"/>
          <w:sz w:val="21"/>
          <w:szCs w:val="21"/>
          <w:lang w:val="es-ES_tradnl"/>
        </w:rPr>
        <w:t>, CENIMEF</w:t>
      </w:r>
      <w:r w:rsidRPr="00087705">
        <w:rPr>
          <w:rStyle w:val="Refdenotaalfinal"/>
          <w:rFonts w:cstheme="minorHAnsi"/>
          <w:sz w:val="21"/>
          <w:szCs w:val="21"/>
          <w:lang w:val="es-ES_tradnl"/>
        </w:rPr>
        <w:endnoteReference w:id="4"/>
      </w:r>
      <w:r w:rsidRPr="00087705">
        <w:rPr>
          <w:rFonts w:cstheme="minorHAnsi"/>
          <w:sz w:val="21"/>
          <w:szCs w:val="21"/>
          <w:lang w:val="es-ES_tradnl"/>
        </w:rPr>
        <w:t xml:space="preserve"> (Centro Nacional de Información de Medicamentos y </w:t>
      </w:r>
      <w:proofErr w:type="spellStart"/>
      <w:r w:rsidRPr="00087705">
        <w:rPr>
          <w:rFonts w:cstheme="minorHAnsi"/>
          <w:sz w:val="21"/>
          <w:szCs w:val="21"/>
          <w:lang w:val="es-ES_tradnl"/>
        </w:rPr>
        <w:t>Farmacovigilancia</w:t>
      </w:r>
      <w:proofErr w:type="spellEnd"/>
      <w:r w:rsidRPr="00087705">
        <w:rPr>
          <w:rFonts w:cstheme="minorHAnsi"/>
          <w:sz w:val="21"/>
          <w:szCs w:val="21"/>
          <w:lang w:val="es-ES_tradnl"/>
        </w:rPr>
        <w:t>).</w:t>
      </w:r>
      <w:r w:rsidR="007D7358" w:rsidRPr="00087705">
        <w:rPr>
          <w:rFonts w:cstheme="minorHAnsi"/>
          <w:sz w:val="21"/>
          <w:szCs w:val="21"/>
          <w:lang w:val="es-ES_tradnl"/>
        </w:rPr>
        <w:t xml:space="preserve"> En e</w:t>
      </w:r>
      <w:r w:rsidRPr="00087705">
        <w:rPr>
          <w:rFonts w:cstheme="minorHAnsi"/>
          <w:sz w:val="21"/>
          <w:szCs w:val="21"/>
          <w:lang w:val="es-ES_tradnl"/>
        </w:rPr>
        <w:t xml:space="preserve">l año 2009 </w:t>
      </w:r>
      <w:r w:rsidR="007D7358" w:rsidRPr="00087705">
        <w:rPr>
          <w:rFonts w:cstheme="minorHAnsi"/>
          <w:sz w:val="21"/>
          <w:szCs w:val="21"/>
          <w:lang w:val="es-ES_tradnl"/>
        </w:rPr>
        <w:t xml:space="preserve"> </w:t>
      </w:r>
      <w:r w:rsidRPr="00087705">
        <w:rPr>
          <w:rFonts w:cstheme="minorHAnsi"/>
          <w:sz w:val="21"/>
          <w:szCs w:val="21"/>
          <w:lang w:val="es-ES_tradnl"/>
        </w:rPr>
        <w:t xml:space="preserve">CITUC </w:t>
      </w:r>
      <w:r w:rsidR="007D7358" w:rsidRPr="00087705">
        <w:rPr>
          <w:rFonts w:cstheme="minorHAnsi"/>
          <w:sz w:val="21"/>
          <w:szCs w:val="21"/>
          <w:lang w:val="es-ES_tradnl"/>
        </w:rPr>
        <w:t>muestra</w:t>
      </w:r>
      <w:r w:rsidRPr="00087705">
        <w:rPr>
          <w:rFonts w:cstheme="minorHAnsi"/>
          <w:sz w:val="21"/>
          <w:szCs w:val="21"/>
          <w:lang w:val="es-ES_tradnl"/>
        </w:rPr>
        <w:t xml:space="preserve"> que </w:t>
      </w:r>
      <w:r w:rsidR="0048144C" w:rsidRPr="00087705">
        <w:rPr>
          <w:rFonts w:cstheme="minorHAnsi"/>
          <w:b/>
          <w:sz w:val="21"/>
          <w:szCs w:val="21"/>
          <w:lang w:val="es-ES_tradnl"/>
        </w:rPr>
        <w:t xml:space="preserve">en </w:t>
      </w:r>
      <w:r w:rsidRPr="00087705">
        <w:rPr>
          <w:rFonts w:cstheme="minorHAnsi"/>
          <w:b/>
          <w:sz w:val="21"/>
          <w:szCs w:val="21"/>
          <w:lang w:val="es-ES_tradnl"/>
        </w:rPr>
        <w:t>niños de 0 a 9 años</w:t>
      </w:r>
      <w:r w:rsidR="0048144C" w:rsidRPr="00087705">
        <w:rPr>
          <w:rFonts w:cstheme="minorHAnsi"/>
          <w:sz w:val="21"/>
          <w:szCs w:val="21"/>
          <w:lang w:val="es-ES_tradnl"/>
        </w:rPr>
        <w:t xml:space="preserve"> existen</w:t>
      </w:r>
      <w:r w:rsidRPr="00087705">
        <w:rPr>
          <w:rFonts w:cstheme="minorHAnsi"/>
          <w:sz w:val="21"/>
          <w:szCs w:val="21"/>
          <w:lang w:val="es-ES_tradnl"/>
        </w:rPr>
        <w:t xml:space="preserve"> </w:t>
      </w:r>
      <w:r w:rsidRPr="00087705">
        <w:rPr>
          <w:rFonts w:cstheme="minorHAnsi"/>
          <w:b/>
          <w:sz w:val="21"/>
          <w:szCs w:val="21"/>
          <w:lang w:val="es-ES_tradnl"/>
        </w:rPr>
        <w:t xml:space="preserve">altos índices </w:t>
      </w:r>
      <w:r w:rsidR="0048144C" w:rsidRPr="00087705">
        <w:rPr>
          <w:rFonts w:cstheme="minorHAnsi"/>
          <w:b/>
          <w:sz w:val="21"/>
          <w:szCs w:val="21"/>
          <w:lang w:val="es-ES_tradnl"/>
        </w:rPr>
        <w:t>de intoxicación por medicamentos</w:t>
      </w:r>
      <w:r w:rsidRPr="00087705">
        <w:rPr>
          <w:rFonts w:cstheme="minorHAnsi"/>
          <w:sz w:val="21"/>
          <w:szCs w:val="21"/>
          <w:lang w:val="es-ES_tradnl"/>
        </w:rPr>
        <w:t xml:space="preserve"> por sobre el resto de los agentes potencialmente tóxicos</w:t>
      </w:r>
      <w:r w:rsidR="007D7358" w:rsidRPr="00087705">
        <w:rPr>
          <w:rFonts w:cstheme="minorHAnsi"/>
          <w:sz w:val="21"/>
          <w:szCs w:val="21"/>
          <w:lang w:val="es-ES_tradnl"/>
        </w:rPr>
        <w:t xml:space="preserve"> (detergentes, cloro)</w:t>
      </w:r>
      <w:r w:rsidRPr="00087705">
        <w:rPr>
          <w:rFonts w:cstheme="minorHAnsi"/>
          <w:sz w:val="21"/>
          <w:szCs w:val="21"/>
          <w:lang w:val="es-ES_tradnl"/>
        </w:rPr>
        <w:t>.</w:t>
      </w:r>
    </w:p>
    <w:p w:rsidR="002E5F32" w:rsidRPr="00087705" w:rsidRDefault="0048144C" w:rsidP="0048144C">
      <w:pPr>
        <w:jc w:val="both"/>
        <w:rPr>
          <w:rFonts w:cstheme="minorHAnsi"/>
          <w:sz w:val="21"/>
          <w:szCs w:val="21"/>
          <w:lang w:val="es-ES_tradnl"/>
        </w:rPr>
      </w:pPr>
      <w:r w:rsidRPr="00087705">
        <w:rPr>
          <w:rFonts w:cstheme="minorHAnsi"/>
          <w:sz w:val="21"/>
          <w:szCs w:val="21"/>
          <w:lang w:val="es-ES_tradnl"/>
        </w:rPr>
        <w:t xml:space="preserve">3.- </w:t>
      </w:r>
      <w:r w:rsidRPr="00087705">
        <w:rPr>
          <w:rFonts w:cstheme="minorHAnsi"/>
          <w:b/>
          <w:sz w:val="21"/>
          <w:szCs w:val="21"/>
          <w:lang w:val="es-ES_tradnl"/>
        </w:rPr>
        <w:t>L</w:t>
      </w:r>
      <w:r w:rsidR="002E5F32" w:rsidRPr="00087705">
        <w:rPr>
          <w:rFonts w:cstheme="minorHAnsi"/>
          <w:b/>
          <w:sz w:val="21"/>
          <w:szCs w:val="21"/>
          <w:lang w:val="es-ES_tradnl"/>
        </w:rPr>
        <w:t>a fiscal</w:t>
      </w:r>
      <w:r w:rsidRPr="00087705">
        <w:rPr>
          <w:rFonts w:cstheme="minorHAnsi"/>
          <w:b/>
          <w:sz w:val="21"/>
          <w:szCs w:val="21"/>
          <w:lang w:val="es-ES_tradnl"/>
        </w:rPr>
        <w:t>ización está</w:t>
      </w:r>
      <w:r w:rsidR="002E5F32" w:rsidRPr="00087705">
        <w:rPr>
          <w:rFonts w:cstheme="minorHAnsi"/>
          <w:b/>
          <w:sz w:val="21"/>
          <w:szCs w:val="21"/>
          <w:lang w:val="es-ES_tradnl"/>
        </w:rPr>
        <w:t xml:space="preserve"> sobrepasada</w:t>
      </w:r>
      <w:r w:rsidR="002E5F32" w:rsidRPr="00087705">
        <w:rPr>
          <w:rFonts w:cstheme="minorHAnsi"/>
          <w:sz w:val="21"/>
          <w:szCs w:val="21"/>
          <w:lang w:val="es-ES_tradnl"/>
        </w:rPr>
        <w:t xml:space="preserve">. La baja dotación de fiscalizadores no satisface el gran número de establecimientos (Centros de diálisis, Farmacias, hogares de larga permanencia, consultorios, clínicas, etc.) que deben ser controlados por SEREMIS. Tomando en cuenta </w:t>
      </w:r>
      <w:r w:rsidRPr="00087705">
        <w:rPr>
          <w:rFonts w:cstheme="minorHAnsi"/>
          <w:sz w:val="21"/>
          <w:szCs w:val="21"/>
          <w:lang w:val="es-ES_tradnl"/>
        </w:rPr>
        <w:t>lo</w:t>
      </w:r>
      <w:r w:rsidR="002E5F32" w:rsidRPr="00087705">
        <w:rPr>
          <w:rFonts w:cstheme="minorHAnsi"/>
          <w:sz w:val="21"/>
          <w:szCs w:val="21"/>
          <w:lang w:val="es-ES_tradnl"/>
        </w:rPr>
        <w:t xml:space="preserve"> anterior, </w:t>
      </w:r>
      <w:r w:rsidRPr="00087705">
        <w:rPr>
          <w:rFonts w:cstheme="minorHAnsi"/>
          <w:sz w:val="21"/>
          <w:szCs w:val="21"/>
          <w:lang w:val="es-ES_tradnl"/>
        </w:rPr>
        <w:t>el aumento exponencial de locales</w:t>
      </w:r>
      <w:r w:rsidR="002E5F32" w:rsidRPr="00087705">
        <w:rPr>
          <w:rFonts w:cstheme="minorHAnsi"/>
          <w:sz w:val="21"/>
          <w:szCs w:val="21"/>
          <w:lang w:val="es-ES_tradnl"/>
        </w:rPr>
        <w:t xml:space="preserve"> </w:t>
      </w:r>
      <w:r w:rsidRPr="00087705">
        <w:rPr>
          <w:rFonts w:cstheme="minorHAnsi"/>
          <w:sz w:val="21"/>
          <w:szCs w:val="21"/>
          <w:lang w:val="es-ES_tradnl"/>
        </w:rPr>
        <w:t>a ser fiscalizados es agrava esta situación.</w:t>
      </w:r>
    </w:p>
    <w:p w:rsidR="002E5F32" w:rsidRPr="00087705" w:rsidRDefault="0048144C" w:rsidP="002E5F32">
      <w:pPr>
        <w:jc w:val="both"/>
        <w:rPr>
          <w:rFonts w:cstheme="minorHAnsi"/>
          <w:sz w:val="21"/>
          <w:szCs w:val="21"/>
          <w:lang w:val="es-ES_tradnl"/>
        </w:rPr>
      </w:pPr>
      <w:r w:rsidRPr="00087705">
        <w:rPr>
          <w:rFonts w:cstheme="minorHAnsi"/>
          <w:sz w:val="21"/>
          <w:szCs w:val="21"/>
          <w:lang w:val="es-ES_tradnl"/>
        </w:rPr>
        <w:t>4.- E</w:t>
      </w:r>
      <w:r w:rsidR="002E5F32" w:rsidRPr="00087705">
        <w:rPr>
          <w:rFonts w:cstheme="minorHAnsi"/>
          <w:sz w:val="21"/>
          <w:szCs w:val="21"/>
          <w:lang w:val="es-ES_tradnl"/>
        </w:rPr>
        <w:t xml:space="preserve">l único organismo a nivel estatal encargado de hacer el seguimiento </w:t>
      </w:r>
      <w:r w:rsidRPr="00087705">
        <w:rPr>
          <w:rFonts w:cstheme="minorHAnsi"/>
          <w:sz w:val="21"/>
          <w:szCs w:val="21"/>
          <w:lang w:val="es-ES_tradnl"/>
        </w:rPr>
        <w:t xml:space="preserve">de precios </w:t>
      </w:r>
      <w:r w:rsidR="002E5F32" w:rsidRPr="00087705">
        <w:rPr>
          <w:rFonts w:cstheme="minorHAnsi"/>
          <w:sz w:val="21"/>
          <w:szCs w:val="21"/>
          <w:lang w:val="es-ES_tradnl"/>
        </w:rPr>
        <w:t>es SERNAC, el cual no considera la especif</w:t>
      </w:r>
      <w:r w:rsidR="007D7358" w:rsidRPr="00087705">
        <w:rPr>
          <w:rFonts w:cstheme="minorHAnsi"/>
          <w:sz w:val="21"/>
          <w:szCs w:val="21"/>
          <w:lang w:val="es-ES_tradnl"/>
        </w:rPr>
        <w:t xml:space="preserve">icación técnica del producto, </w:t>
      </w:r>
      <w:r w:rsidR="002E5F32" w:rsidRPr="00087705">
        <w:rPr>
          <w:rFonts w:cstheme="minorHAnsi"/>
          <w:sz w:val="21"/>
          <w:szCs w:val="21"/>
          <w:lang w:val="es-ES_tradnl"/>
        </w:rPr>
        <w:t xml:space="preserve">llevando a errores de apreciación, como cuando se compara un producto farmacéutico “genérico” simple con uno de “marca” que posee liberación prolongada o recubrimiento entérico. </w:t>
      </w:r>
    </w:p>
    <w:p w:rsidR="002E5F32" w:rsidRPr="00087705" w:rsidRDefault="0048144C" w:rsidP="0048144C">
      <w:pPr>
        <w:jc w:val="both"/>
        <w:rPr>
          <w:rFonts w:cstheme="minorHAnsi"/>
          <w:sz w:val="21"/>
          <w:szCs w:val="21"/>
          <w:lang w:val="es-ES_tradnl"/>
        </w:rPr>
      </w:pPr>
      <w:r w:rsidRPr="00087705">
        <w:rPr>
          <w:rFonts w:cstheme="minorHAnsi"/>
          <w:sz w:val="21"/>
          <w:szCs w:val="21"/>
          <w:lang w:val="es-ES_tradnl"/>
        </w:rPr>
        <w:t>5.-</w:t>
      </w:r>
      <w:r w:rsidR="002E5F32" w:rsidRPr="00087705">
        <w:rPr>
          <w:rFonts w:cstheme="minorHAnsi"/>
          <w:sz w:val="21"/>
          <w:szCs w:val="21"/>
          <w:lang w:val="es-ES_tradnl"/>
        </w:rPr>
        <w:t xml:space="preserve"> </w:t>
      </w:r>
      <w:r w:rsidR="002E5F32" w:rsidRPr="00087705">
        <w:rPr>
          <w:rFonts w:cstheme="minorHAnsi"/>
          <w:b/>
          <w:sz w:val="21"/>
          <w:szCs w:val="21"/>
          <w:lang w:val="es-ES_tradnl"/>
        </w:rPr>
        <w:t>Es una falacia que los supermercados no puedan participar del mercado farmacéutico con las condiciones actuales</w:t>
      </w:r>
      <w:r w:rsidR="002E5F32" w:rsidRPr="00087705">
        <w:rPr>
          <w:rFonts w:cstheme="minorHAnsi"/>
          <w:sz w:val="21"/>
          <w:szCs w:val="21"/>
          <w:lang w:val="es-ES_tradnl"/>
        </w:rPr>
        <w:t xml:space="preserve">. Estos consorcios (holding) tienen la capacidad logística y financiera para poder concretar su participación, como lo demuestra el caso de </w:t>
      </w:r>
      <w:proofErr w:type="spellStart"/>
      <w:r w:rsidR="002E5F32" w:rsidRPr="00087705">
        <w:rPr>
          <w:rFonts w:cstheme="minorHAnsi"/>
          <w:sz w:val="21"/>
          <w:szCs w:val="21"/>
          <w:lang w:val="es-ES_tradnl"/>
        </w:rPr>
        <w:t>FarmaLider</w:t>
      </w:r>
      <w:proofErr w:type="spellEnd"/>
      <w:r w:rsidR="002E5F32" w:rsidRPr="00087705">
        <w:rPr>
          <w:rFonts w:cstheme="minorHAnsi"/>
          <w:sz w:val="21"/>
          <w:szCs w:val="21"/>
          <w:lang w:val="es-ES_tradnl"/>
        </w:rPr>
        <w:t xml:space="preserve">. </w:t>
      </w:r>
      <w:r w:rsidR="007555C1" w:rsidRPr="00087705">
        <w:rPr>
          <w:rFonts w:cstheme="minorHAnsi"/>
          <w:sz w:val="21"/>
          <w:szCs w:val="21"/>
          <w:lang w:val="es-ES_tradnl"/>
        </w:rPr>
        <w:t>L</w:t>
      </w:r>
      <w:r w:rsidR="002E5F32" w:rsidRPr="00087705">
        <w:rPr>
          <w:rFonts w:cstheme="minorHAnsi"/>
          <w:sz w:val="21"/>
          <w:szCs w:val="21"/>
          <w:lang w:val="es-ES_tradnl"/>
        </w:rPr>
        <w:t xml:space="preserve">lama poderosamente la atención las alianzas estratégicas que los supermercados tienen con todas las cadenas de farmacias. </w:t>
      </w:r>
      <w:r w:rsidR="007555C1" w:rsidRPr="00087705">
        <w:rPr>
          <w:rFonts w:cstheme="minorHAnsi"/>
          <w:sz w:val="21"/>
          <w:szCs w:val="21"/>
          <w:lang w:val="es-ES_tradnl"/>
        </w:rPr>
        <w:lastRenderedPageBreak/>
        <w:t xml:space="preserve">Por ejemplo, </w:t>
      </w:r>
      <w:r w:rsidR="007555C1" w:rsidRPr="00087705">
        <w:rPr>
          <w:rFonts w:cstheme="minorHAnsi"/>
          <w:b/>
          <w:sz w:val="21"/>
          <w:szCs w:val="21"/>
          <w:lang w:val="es-ES_tradnl"/>
        </w:rPr>
        <w:t xml:space="preserve">solo en </w:t>
      </w:r>
      <w:r w:rsidR="002E5F32" w:rsidRPr="00087705">
        <w:rPr>
          <w:rFonts w:cstheme="minorHAnsi"/>
          <w:b/>
          <w:sz w:val="21"/>
          <w:szCs w:val="21"/>
          <w:lang w:val="es-ES_tradnl"/>
        </w:rPr>
        <w:t xml:space="preserve">FASA el 20% de las acciones pertenece a Falabella, el mismo grupo dueño de </w:t>
      </w:r>
      <w:proofErr w:type="spellStart"/>
      <w:r w:rsidR="002E5F32" w:rsidRPr="00087705">
        <w:rPr>
          <w:rFonts w:cstheme="minorHAnsi"/>
          <w:b/>
          <w:sz w:val="21"/>
          <w:szCs w:val="21"/>
          <w:lang w:val="es-ES_tradnl"/>
        </w:rPr>
        <w:t>Tottus</w:t>
      </w:r>
      <w:proofErr w:type="spellEnd"/>
      <w:r w:rsidR="002E5F32" w:rsidRPr="00087705">
        <w:rPr>
          <w:rFonts w:cstheme="minorHAnsi"/>
          <w:sz w:val="21"/>
          <w:szCs w:val="21"/>
          <w:lang w:val="es-ES_tradnl"/>
        </w:rPr>
        <w:t xml:space="preserve">. ¿Constituye entonces, esta iniciativa un aumento </w:t>
      </w:r>
      <w:r w:rsidR="007555C1" w:rsidRPr="00087705">
        <w:rPr>
          <w:rFonts w:cstheme="minorHAnsi"/>
          <w:sz w:val="21"/>
          <w:szCs w:val="21"/>
          <w:lang w:val="es-ES_tradnl"/>
        </w:rPr>
        <w:t>en el número de actores en el mercado</w:t>
      </w:r>
      <w:r w:rsidR="002E5F32" w:rsidRPr="00087705">
        <w:rPr>
          <w:rFonts w:cstheme="minorHAnsi"/>
          <w:sz w:val="21"/>
          <w:szCs w:val="21"/>
          <w:lang w:val="es-ES_tradnl"/>
        </w:rPr>
        <w:t xml:space="preserve">? </w:t>
      </w:r>
    </w:p>
    <w:p w:rsidR="002E5F32" w:rsidRPr="00087705" w:rsidRDefault="007555C1" w:rsidP="002E5F32">
      <w:pPr>
        <w:jc w:val="both"/>
        <w:rPr>
          <w:rFonts w:cstheme="minorHAnsi"/>
          <w:sz w:val="21"/>
          <w:szCs w:val="21"/>
          <w:lang w:val="es-ES_tradnl"/>
        </w:rPr>
      </w:pPr>
      <w:r w:rsidRPr="00087705">
        <w:rPr>
          <w:rFonts w:cstheme="minorHAnsi"/>
          <w:sz w:val="21"/>
          <w:szCs w:val="21"/>
          <w:lang w:val="es-ES_tradnl"/>
        </w:rPr>
        <w:t>6</w:t>
      </w:r>
      <w:r w:rsidR="002E5F32" w:rsidRPr="00087705">
        <w:rPr>
          <w:rFonts w:cstheme="minorHAnsi"/>
          <w:sz w:val="21"/>
          <w:szCs w:val="21"/>
          <w:lang w:val="es-ES_tradnl"/>
        </w:rPr>
        <w:t xml:space="preserve">.- </w:t>
      </w:r>
      <w:r w:rsidR="002E5F32" w:rsidRPr="00087705">
        <w:rPr>
          <w:rFonts w:cstheme="minorHAnsi"/>
          <w:b/>
          <w:sz w:val="21"/>
          <w:szCs w:val="21"/>
          <w:lang w:val="es-ES_tradnl"/>
        </w:rPr>
        <w:t>Una de las promesas de campaña del actual gobierno fue proteger e incentivar el desarrollo de la pequeña y mediana empresa (pymes</w:t>
      </w:r>
      <w:r w:rsidRPr="00087705">
        <w:rPr>
          <w:rFonts w:cstheme="minorHAnsi"/>
          <w:b/>
          <w:sz w:val="21"/>
          <w:szCs w:val="21"/>
          <w:lang w:val="es-ES_tradnl"/>
        </w:rPr>
        <w:t>).</w:t>
      </w:r>
      <w:r w:rsidRPr="00087705">
        <w:rPr>
          <w:rFonts w:cstheme="minorHAnsi"/>
          <w:sz w:val="21"/>
          <w:szCs w:val="21"/>
          <w:lang w:val="es-ES_tradnl"/>
        </w:rPr>
        <w:t xml:space="preserve"> Ya que l</w:t>
      </w:r>
      <w:r w:rsidR="002E5F32" w:rsidRPr="00087705">
        <w:rPr>
          <w:rFonts w:cstheme="minorHAnsi"/>
          <w:sz w:val="21"/>
          <w:szCs w:val="21"/>
          <w:lang w:val="es-ES_tradnl"/>
        </w:rPr>
        <w:t>as farmacias independientes están dentro</w:t>
      </w:r>
      <w:r w:rsidRPr="00087705">
        <w:rPr>
          <w:rFonts w:cstheme="minorHAnsi"/>
          <w:sz w:val="21"/>
          <w:szCs w:val="21"/>
          <w:lang w:val="es-ES_tradnl"/>
        </w:rPr>
        <w:t xml:space="preserve"> esta categoría y </w:t>
      </w:r>
      <w:r w:rsidR="002E5F32" w:rsidRPr="00087705">
        <w:rPr>
          <w:rFonts w:cstheme="minorHAnsi"/>
          <w:sz w:val="21"/>
          <w:szCs w:val="21"/>
          <w:lang w:val="es-ES_tradnl"/>
        </w:rPr>
        <w:t xml:space="preserve">han sido fuertemente golpeadas por el </w:t>
      </w:r>
      <w:r w:rsidRPr="00087705">
        <w:rPr>
          <w:rFonts w:cstheme="minorHAnsi"/>
          <w:sz w:val="21"/>
          <w:szCs w:val="21"/>
          <w:lang w:val="es-ES_tradnl"/>
        </w:rPr>
        <w:t>crecimiento</w:t>
      </w:r>
      <w:r w:rsidR="002E5F32" w:rsidRPr="00087705">
        <w:rPr>
          <w:rFonts w:cstheme="minorHAnsi"/>
          <w:sz w:val="21"/>
          <w:szCs w:val="21"/>
          <w:lang w:val="es-ES_tradnl"/>
        </w:rPr>
        <w:t xml:space="preserve"> </w:t>
      </w:r>
      <w:r w:rsidRPr="00087705">
        <w:rPr>
          <w:rFonts w:cstheme="minorHAnsi"/>
          <w:sz w:val="21"/>
          <w:szCs w:val="21"/>
          <w:lang w:val="es-ES_tradnl"/>
        </w:rPr>
        <w:t>desmedido de las cadenas, esta</w:t>
      </w:r>
      <w:r w:rsidR="002E5F32" w:rsidRPr="00087705">
        <w:rPr>
          <w:rFonts w:cstheme="minorHAnsi"/>
          <w:sz w:val="21"/>
          <w:szCs w:val="21"/>
          <w:lang w:val="es-ES_tradnl"/>
        </w:rPr>
        <w:t xml:space="preserve"> medida co</w:t>
      </w:r>
      <w:r w:rsidRPr="00087705">
        <w:rPr>
          <w:rFonts w:cstheme="minorHAnsi"/>
          <w:sz w:val="21"/>
          <w:szCs w:val="21"/>
          <w:lang w:val="es-ES_tradnl"/>
        </w:rPr>
        <w:t>nstituye el golpe de gracia.</w:t>
      </w:r>
    </w:p>
    <w:p w:rsidR="007555C1" w:rsidRPr="00087705" w:rsidRDefault="007555C1">
      <w:pPr>
        <w:rPr>
          <w:rFonts w:cstheme="minorHAnsi"/>
          <w:sz w:val="21"/>
          <w:szCs w:val="21"/>
          <w:lang w:val="es-ES_tradnl"/>
        </w:rPr>
      </w:pPr>
      <w:r w:rsidRPr="00087705">
        <w:rPr>
          <w:rFonts w:cstheme="minorHAnsi"/>
          <w:sz w:val="21"/>
          <w:szCs w:val="21"/>
          <w:lang w:val="es-ES_tradnl"/>
        </w:rPr>
        <w:t>7.- Los 3 documentos que dispone el Ministerio de Economía para avalar su propuesta, son pobres en cuanto a su evidencia:</w:t>
      </w:r>
    </w:p>
    <w:p w:rsidR="006B3273" w:rsidRPr="00087705" w:rsidRDefault="007555C1" w:rsidP="006B3273">
      <w:pPr>
        <w:pStyle w:val="Prrafodelista"/>
        <w:numPr>
          <w:ilvl w:val="0"/>
          <w:numId w:val="1"/>
        </w:numPr>
        <w:jc w:val="both"/>
        <w:rPr>
          <w:rFonts w:cstheme="minorHAnsi"/>
          <w:sz w:val="21"/>
          <w:szCs w:val="21"/>
          <w:lang w:val="es-ES_tradnl"/>
        </w:rPr>
      </w:pPr>
      <w:r w:rsidRPr="00087705">
        <w:rPr>
          <w:rFonts w:cstheme="minorHAnsi"/>
          <w:b/>
          <w:sz w:val="21"/>
          <w:szCs w:val="21"/>
          <w:lang w:val="es-ES_tradnl"/>
        </w:rPr>
        <w:t>Mercado Farmacéutico Chileno, IMS</w:t>
      </w:r>
      <w:r w:rsidRPr="00087705">
        <w:rPr>
          <w:rFonts w:cstheme="minorHAnsi"/>
          <w:sz w:val="21"/>
          <w:szCs w:val="21"/>
          <w:lang w:val="es-ES_tradnl"/>
        </w:rPr>
        <w:t>:</w:t>
      </w:r>
      <w:r w:rsidR="00184806" w:rsidRPr="00087705">
        <w:rPr>
          <w:rFonts w:cstheme="minorHAnsi"/>
          <w:sz w:val="21"/>
          <w:szCs w:val="21"/>
          <w:lang w:val="es-ES_tradnl"/>
        </w:rPr>
        <w:t xml:space="preserve"> </w:t>
      </w:r>
      <w:r w:rsidR="006B3273" w:rsidRPr="00087705">
        <w:rPr>
          <w:rFonts w:cstheme="minorHAnsi"/>
          <w:sz w:val="21"/>
          <w:szCs w:val="21"/>
          <w:lang w:val="es-ES_tradnl"/>
        </w:rPr>
        <w:t xml:space="preserve">no entrega información relevante para tomar una medida como esta.  El análisis del contexto es insuficiente  y </w:t>
      </w:r>
      <w:r w:rsidR="007D7358" w:rsidRPr="00087705">
        <w:rPr>
          <w:rFonts w:cstheme="minorHAnsi"/>
          <w:sz w:val="21"/>
          <w:szCs w:val="21"/>
          <w:lang w:val="es-ES_tradnl"/>
        </w:rPr>
        <w:t>no aporta</w:t>
      </w:r>
      <w:r w:rsidR="006B3273" w:rsidRPr="00087705">
        <w:rPr>
          <w:rFonts w:cstheme="minorHAnsi"/>
          <w:sz w:val="21"/>
          <w:szCs w:val="21"/>
          <w:lang w:val="es-ES_tradnl"/>
        </w:rPr>
        <w:t xml:space="preserve"> información relevante, como por ejemplo </w:t>
      </w:r>
      <w:r w:rsidR="007D7358" w:rsidRPr="00087705">
        <w:rPr>
          <w:rFonts w:cstheme="minorHAnsi"/>
          <w:sz w:val="21"/>
          <w:szCs w:val="21"/>
          <w:lang w:val="es-ES_tradnl"/>
        </w:rPr>
        <w:t>distribución</w:t>
      </w:r>
      <w:r w:rsidR="006B3273" w:rsidRPr="00087705">
        <w:rPr>
          <w:rFonts w:cstheme="minorHAnsi"/>
          <w:sz w:val="21"/>
          <w:szCs w:val="21"/>
          <w:lang w:val="es-ES_tradnl"/>
        </w:rPr>
        <w:t xml:space="preserve"> regional o el impacto de OTC en el gasto bolsillo. El Ministerio de Economía debió haber considerado otro tipo de informes u otro tipo de instituciones para realizar la consultoría.</w:t>
      </w:r>
    </w:p>
    <w:p w:rsidR="00184806" w:rsidRPr="00087705" w:rsidRDefault="006B3273" w:rsidP="006B3273">
      <w:pPr>
        <w:pStyle w:val="Prrafodelista"/>
        <w:numPr>
          <w:ilvl w:val="0"/>
          <w:numId w:val="1"/>
        </w:numPr>
        <w:jc w:val="both"/>
        <w:rPr>
          <w:rFonts w:cstheme="minorHAnsi"/>
          <w:sz w:val="21"/>
          <w:szCs w:val="21"/>
          <w:lang w:val="es-ES_tradnl"/>
        </w:rPr>
      </w:pPr>
      <w:r w:rsidRPr="00087705">
        <w:rPr>
          <w:rFonts w:cstheme="minorHAnsi"/>
          <w:b/>
          <w:sz w:val="21"/>
          <w:szCs w:val="21"/>
          <w:lang w:val="es-ES_tradnl"/>
        </w:rPr>
        <w:t>“Prices and availability of pharmaceuticals: evidence from nine countries”</w:t>
      </w:r>
      <w:proofErr w:type="gramStart"/>
      <w:r w:rsidRPr="00087705">
        <w:rPr>
          <w:rFonts w:cstheme="minorHAnsi"/>
          <w:sz w:val="21"/>
          <w:szCs w:val="21"/>
          <w:lang w:val="es-ES_tradnl"/>
        </w:rPr>
        <w:t xml:space="preserve">:  </w:t>
      </w:r>
      <w:proofErr w:type="spellStart"/>
      <w:r w:rsidRPr="00087705">
        <w:rPr>
          <w:rFonts w:cstheme="minorHAnsi"/>
          <w:sz w:val="21"/>
          <w:szCs w:val="21"/>
          <w:lang w:val="es-ES_tradnl"/>
        </w:rPr>
        <w:t>Pese</w:t>
      </w:r>
      <w:proofErr w:type="spellEnd"/>
      <w:proofErr w:type="gramEnd"/>
      <w:r w:rsidRPr="00087705">
        <w:rPr>
          <w:rFonts w:cstheme="minorHAnsi"/>
          <w:sz w:val="21"/>
          <w:szCs w:val="21"/>
          <w:lang w:val="es-ES_tradnl"/>
        </w:rPr>
        <w:t xml:space="preserve"> a </w:t>
      </w:r>
      <w:proofErr w:type="spellStart"/>
      <w:r w:rsidRPr="00087705">
        <w:rPr>
          <w:rFonts w:cstheme="minorHAnsi"/>
          <w:sz w:val="21"/>
          <w:szCs w:val="21"/>
          <w:lang w:val="es-ES_tradnl"/>
        </w:rPr>
        <w:t>que</w:t>
      </w:r>
      <w:proofErr w:type="spellEnd"/>
      <w:r w:rsidRPr="00087705">
        <w:rPr>
          <w:rFonts w:cstheme="minorHAnsi"/>
          <w:sz w:val="21"/>
          <w:szCs w:val="21"/>
          <w:lang w:val="es-ES_tradnl"/>
        </w:rPr>
        <w:t xml:space="preserve"> </w:t>
      </w:r>
      <w:proofErr w:type="spellStart"/>
      <w:r w:rsidRPr="00087705">
        <w:rPr>
          <w:rFonts w:cstheme="minorHAnsi"/>
          <w:sz w:val="21"/>
          <w:szCs w:val="21"/>
          <w:lang w:val="es-ES_tradnl"/>
        </w:rPr>
        <w:t>es</w:t>
      </w:r>
      <w:proofErr w:type="spellEnd"/>
      <w:r w:rsidRPr="00087705">
        <w:rPr>
          <w:rFonts w:cstheme="minorHAnsi"/>
          <w:sz w:val="21"/>
          <w:szCs w:val="21"/>
          <w:lang w:val="es-ES_tradnl"/>
        </w:rPr>
        <w:t xml:space="preserve"> </w:t>
      </w:r>
      <w:proofErr w:type="spellStart"/>
      <w:r w:rsidRPr="00087705">
        <w:rPr>
          <w:rFonts w:cstheme="minorHAnsi"/>
          <w:sz w:val="21"/>
          <w:szCs w:val="21"/>
          <w:lang w:val="es-ES_tradnl"/>
        </w:rPr>
        <w:t>una</w:t>
      </w:r>
      <w:proofErr w:type="spellEnd"/>
      <w:r w:rsidRPr="00087705">
        <w:rPr>
          <w:rFonts w:cstheme="minorHAnsi"/>
          <w:sz w:val="21"/>
          <w:szCs w:val="21"/>
          <w:lang w:val="es-ES_tradnl"/>
        </w:rPr>
        <w:t xml:space="preserve"> </w:t>
      </w:r>
      <w:proofErr w:type="spellStart"/>
      <w:r w:rsidRPr="00087705">
        <w:rPr>
          <w:rFonts w:cstheme="minorHAnsi"/>
          <w:sz w:val="21"/>
          <w:szCs w:val="21"/>
          <w:lang w:val="es-ES_tradnl"/>
        </w:rPr>
        <w:t>investigación</w:t>
      </w:r>
      <w:proofErr w:type="spellEnd"/>
      <w:r w:rsidRPr="00087705">
        <w:rPr>
          <w:rFonts w:cstheme="minorHAnsi"/>
          <w:sz w:val="21"/>
          <w:szCs w:val="21"/>
          <w:lang w:val="es-ES_tradnl"/>
        </w:rPr>
        <w:t xml:space="preserve"> </w:t>
      </w:r>
      <w:proofErr w:type="spellStart"/>
      <w:r w:rsidRPr="00087705">
        <w:rPr>
          <w:rFonts w:cstheme="minorHAnsi"/>
          <w:sz w:val="21"/>
          <w:szCs w:val="21"/>
          <w:lang w:val="es-ES_tradnl"/>
        </w:rPr>
        <w:t>interesante</w:t>
      </w:r>
      <w:proofErr w:type="spellEnd"/>
      <w:r w:rsidRPr="00087705">
        <w:rPr>
          <w:rFonts w:cstheme="minorHAnsi"/>
          <w:sz w:val="21"/>
          <w:szCs w:val="21"/>
          <w:lang w:val="es-ES_tradnl"/>
        </w:rPr>
        <w:t xml:space="preserve">, </w:t>
      </w:r>
      <w:r w:rsidR="00B5708D" w:rsidRPr="00087705">
        <w:rPr>
          <w:rFonts w:cstheme="minorHAnsi"/>
          <w:sz w:val="21"/>
          <w:szCs w:val="21"/>
          <w:lang w:val="es-ES_tradnl"/>
        </w:rPr>
        <w:t xml:space="preserve">en la </w:t>
      </w:r>
      <w:proofErr w:type="spellStart"/>
      <w:r w:rsidR="00B5708D" w:rsidRPr="00087705">
        <w:rPr>
          <w:rFonts w:cstheme="minorHAnsi"/>
          <w:sz w:val="21"/>
          <w:szCs w:val="21"/>
          <w:lang w:val="es-ES_tradnl"/>
        </w:rPr>
        <w:t>sección</w:t>
      </w:r>
      <w:proofErr w:type="spellEnd"/>
      <w:r w:rsidR="00B5708D" w:rsidRPr="00087705">
        <w:rPr>
          <w:rFonts w:cstheme="minorHAnsi"/>
          <w:sz w:val="21"/>
          <w:szCs w:val="21"/>
          <w:lang w:val="es-ES_tradnl"/>
        </w:rPr>
        <w:t xml:space="preserve"> “Study Data and Methods” </w:t>
      </w:r>
      <w:proofErr w:type="spellStart"/>
      <w:r w:rsidR="00B5708D" w:rsidRPr="00087705">
        <w:rPr>
          <w:rFonts w:cstheme="minorHAnsi"/>
          <w:sz w:val="21"/>
          <w:szCs w:val="21"/>
          <w:lang w:val="es-ES_tradnl"/>
        </w:rPr>
        <w:t>después</w:t>
      </w:r>
      <w:proofErr w:type="spellEnd"/>
      <w:r w:rsidR="00B5708D" w:rsidRPr="00087705">
        <w:rPr>
          <w:rFonts w:cstheme="minorHAnsi"/>
          <w:sz w:val="21"/>
          <w:szCs w:val="21"/>
          <w:lang w:val="es-ES_tradnl"/>
        </w:rPr>
        <w:t xml:space="preserve"> del primer </w:t>
      </w:r>
      <w:proofErr w:type="spellStart"/>
      <w:r w:rsidR="00B5708D" w:rsidRPr="00087705">
        <w:rPr>
          <w:rFonts w:cstheme="minorHAnsi"/>
          <w:sz w:val="21"/>
          <w:szCs w:val="21"/>
          <w:lang w:val="es-ES_tradnl"/>
        </w:rPr>
        <w:t>punto</w:t>
      </w:r>
      <w:proofErr w:type="spellEnd"/>
      <w:r w:rsidR="00B5708D" w:rsidRPr="00087705">
        <w:rPr>
          <w:rFonts w:cstheme="minorHAnsi"/>
          <w:sz w:val="21"/>
          <w:szCs w:val="21"/>
          <w:lang w:val="es-ES_tradnl"/>
        </w:rPr>
        <w:t xml:space="preserve"> </w:t>
      </w:r>
      <w:proofErr w:type="spellStart"/>
      <w:r w:rsidR="00B5708D" w:rsidRPr="00087705">
        <w:rPr>
          <w:rFonts w:cstheme="minorHAnsi"/>
          <w:sz w:val="21"/>
          <w:szCs w:val="21"/>
          <w:lang w:val="es-ES_tradnl"/>
        </w:rPr>
        <w:t>seguido</w:t>
      </w:r>
      <w:proofErr w:type="spellEnd"/>
      <w:r w:rsidR="00B5708D" w:rsidRPr="00087705">
        <w:rPr>
          <w:rFonts w:cstheme="minorHAnsi"/>
          <w:sz w:val="21"/>
          <w:szCs w:val="21"/>
          <w:lang w:val="es-ES_tradnl"/>
        </w:rPr>
        <w:t xml:space="preserve"> </w:t>
      </w:r>
      <w:proofErr w:type="spellStart"/>
      <w:r w:rsidR="00B5708D" w:rsidRPr="00087705">
        <w:rPr>
          <w:rFonts w:cstheme="minorHAnsi"/>
          <w:sz w:val="21"/>
          <w:szCs w:val="21"/>
          <w:lang w:val="es-ES_tradnl"/>
        </w:rPr>
        <w:t>aclara</w:t>
      </w:r>
      <w:proofErr w:type="spellEnd"/>
      <w:r w:rsidR="00B5708D" w:rsidRPr="00087705">
        <w:rPr>
          <w:rFonts w:cstheme="minorHAnsi"/>
          <w:sz w:val="21"/>
          <w:szCs w:val="21"/>
          <w:lang w:val="es-ES_tradnl"/>
        </w:rPr>
        <w:t xml:space="preserve"> lo </w:t>
      </w:r>
      <w:proofErr w:type="spellStart"/>
      <w:r w:rsidR="00B5708D" w:rsidRPr="00087705">
        <w:rPr>
          <w:rFonts w:cstheme="minorHAnsi"/>
          <w:sz w:val="21"/>
          <w:szCs w:val="21"/>
          <w:lang w:val="es-ES_tradnl"/>
        </w:rPr>
        <w:t>siguiente</w:t>
      </w:r>
      <w:proofErr w:type="spellEnd"/>
      <w:r w:rsidR="00B5708D" w:rsidRPr="00087705">
        <w:rPr>
          <w:rFonts w:cstheme="minorHAnsi"/>
          <w:sz w:val="21"/>
          <w:szCs w:val="21"/>
          <w:lang w:val="es-ES_tradnl"/>
        </w:rPr>
        <w:t xml:space="preserve">: “Most of our analysis is at manufacturer Price levels, excluding wholesaler and pharmacy markups”. En otras palabras, aclara que este estudio se basa en los precios a nivel de productores (laboratorios) y que excluye el precio de venta final, que es precisamente lo que nos interesaría analizar. </w:t>
      </w:r>
    </w:p>
    <w:p w:rsidR="00B5708D" w:rsidRPr="00087705" w:rsidRDefault="00B5708D" w:rsidP="006B3273">
      <w:pPr>
        <w:pStyle w:val="Prrafodelista"/>
        <w:numPr>
          <w:ilvl w:val="0"/>
          <w:numId w:val="1"/>
        </w:numPr>
        <w:jc w:val="both"/>
        <w:rPr>
          <w:rFonts w:cstheme="minorHAnsi"/>
          <w:sz w:val="21"/>
          <w:szCs w:val="21"/>
          <w:lang w:val="es-ES_tradnl"/>
        </w:rPr>
      </w:pPr>
      <w:r w:rsidRPr="00087705">
        <w:rPr>
          <w:rFonts w:cstheme="minorHAnsi"/>
          <w:b/>
          <w:sz w:val="21"/>
          <w:szCs w:val="21"/>
          <w:lang w:val="es-ES_tradnl"/>
        </w:rPr>
        <w:t xml:space="preserve">Informe económico: </w:t>
      </w:r>
      <w:proofErr w:type="spellStart"/>
      <w:r w:rsidRPr="00087705">
        <w:rPr>
          <w:rFonts w:cstheme="minorHAnsi"/>
          <w:b/>
          <w:sz w:val="21"/>
          <w:szCs w:val="21"/>
          <w:lang w:val="es-ES_tradnl"/>
        </w:rPr>
        <w:t>Requierimiento</w:t>
      </w:r>
      <w:proofErr w:type="spellEnd"/>
      <w:r w:rsidRPr="00087705">
        <w:rPr>
          <w:rFonts w:cstheme="minorHAnsi"/>
          <w:b/>
          <w:sz w:val="21"/>
          <w:szCs w:val="21"/>
          <w:lang w:val="es-ES_tradnl"/>
        </w:rPr>
        <w:t xml:space="preserve"> de la FNE en Farmacias Cruz Verde por supuesta concertación de precios de ventas a público de productos farmacéuticos”:</w:t>
      </w:r>
      <w:r w:rsidRPr="00087705">
        <w:rPr>
          <w:rFonts w:cstheme="minorHAnsi"/>
          <w:sz w:val="21"/>
          <w:szCs w:val="21"/>
          <w:lang w:val="es-ES_tradnl"/>
        </w:rPr>
        <w:t xml:space="preserve"> intenta demostrar la colusión de farmacias, centrando su análisis en la variación de precios de medicamentos crónicos, los que no forman parte de los que podrían venderse libremente con esta medida.  </w:t>
      </w:r>
    </w:p>
    <w:p w:rsidR="007555C1" w:rsidRPr="00087705" w:rsidRDefault="007D7358" w:rsidP="00087705">
      <w:pPr>
        <w:jc w:val="both"/>
        <w:rPr>
          <w:rFonts w:cstheme="minorHAnsi"/>
          <w:sz w:val="21"/>
          <w:szCs w:val="21"/>
        </w:rPr>
      </w:pPr>
      <w:r w:rsidRPr="00087705">
        <w:rPr>
          <w:rFonts w:cstheme="minorHAnsi"/>
          <w:sz w:val="21"/>
          <w:szCs w:val="21"/>
          <w:lang w:val="es-ES_tradnl"/>
        </w:rPr>
        <w:t xml:space="preserve">8.-  </w:t>
      </w:r>
      <w:r w:rsidRPr="00087705">
        <w:rPr>
          <w:rFonts w:cstheme="minorHAnsi"/>
          <w:b/>
          <w:sz w:val="21"/>
          <w:szCs w:val="21"/>
          <w:lang w:val="es-ES_tradnl"/>
        </w:rPr>
        <w:t xml:space="preserve">El </w:t>
      </w:r>
      <w:proofErr w:type="spellStart"/>
      <w:r w:rsidRPr="00087705">
        <w:rPr>
          <w:rFonts w:cstheme="minorHAnsi"/>
          <w:b/>
          <w:sz w:val="21"/>
          <w:szCs w:val="21"/>
          <w:lang w:val="es-ES_tradnl"/>
        </w:rPr>
        <w:t>Minsal</w:t>
      </w:r>
      <w:proofErr w:type="spellEnd"/>
      <w:r w:rsidRPr="00087705">
        <w:rPr>
          <w:rFonts w:cstheme="minorHAnsi"/>
          <w:sz w:val="21"/>
          <w:szCs w:val="21"/>
          <w:lang w:val="es-ES_tradnl"/>
        </w:rPr>
        <w:t xml:space="preserve"> posee una consultoría de Junio de 2010 llamada </w:t>
      </w:r>
      <w:r w:rsidRPr="00087705">
        <w:rPr>
          <w:rFonts w:cstheme="minorHAnsi"/>
          <w:b/>
          <w:sz w:val="21"/>
          <w:szCs w:val="21"/>
          <w:lang w:val="es-ES_tradnl"/>
        </w:rPr>
        <w:t>“El Mercado de medicamentos en Chile: caracterización y recomendaciones para la regulación económica”.</w:t>
      </w:r>
      <w:r w:rsidRPr="00087705">
        <w:rPr>
          <w:rFonts w:cstheme="minorHAnsi"/>
          <w:sz w:val="21"/>
          <w:szCs w:val="21"/>
          <w:lang w:val="es-ES_tradnl"/>
        </w:rPr>
        <w:t xml:space="preserve"> Encontramos prudente</w:t>
      </w:r>
      <w:r w:rsidR="0020284E" w:rsidRPr="00087705">
        <w:rPr>
          <w:rFonts w:cstheme="minorHAnsi"/>
          <w:sz w:val="21"/>
          <w:szCs w:val="21"/>
          <w:lang w:val="es-ES_tradnl"/>
        </w:rPr>
        <w:t xml:space="preserve">, ya que la medida involucra a los dos ministerios, que este documento debiera ser considerado. De hecho, en la página </w:t>
      </w:r>
      <w:r w:rsidR="00087705" w:rsidRPr="00087705">
        <w:rPr>
          <w:rFonts w:cstheme="minorHAnsi"/>
          <w:sz w:val="21"/>
          <w:szCs w:val="21"/>
          <w:lang w:val="es-ES_tradnl"/>
        </w:rPr>
        <w:t>70</w:t>
      </w:r>
      <w:r w:rsidR="0020284E" w:rsidRPr="00087705">
        <w:rPr>
          <w:rFonts w:cstheme="minorHAnsi"/>
          <w:sz w:val="21"/>
          <w:szCs w:val="21"/>
          <w:lang w:val="es-ES_tradnl"/>
        </w:rPr>
        <w:t xml:space="preserve"> </w:t>
      </w:r>
      <w:r w:rsidR="00087705" w:rsidRPr="00087705">
        <w:rPr>
          <w:rFonts w:cstheme="minorHAnsi"/>
          <w:sz w:val="21"/>
          <w:szCs w:val="21"/>
          <w:lang w:val="es-ES_tradnl"/>
        </w:rPr>
        <w:t xml:space="preserve">se dice que </w:t>
      </w:r>
      <w:r w:rsidR="00087705" w:rsidRPr="00087705">
        <w:rPr>
          <w:rFonts w:cstheme="minorHAnsi"/>
          <w:b/>
          <w:sz w:val="21"/>
          <w:szCs w:val="21"/>
          <w:lang w:val="es-ES_tradnl"/>
        </w:rPr>
        <w:t xml:space="preserve">los chilenos tenemos una alta tendencia a la automedicación y </w:t>
      </w:r>
      <w:proofErr w:type="spellStart"/>
      <w:r w:rsidR="00087705" w:rsidRPr="00087705">
        <w:rPr>
          <w:rFonts w:cstheme="minorHAnsi"/>
          <w:b/>
          <w:sz w:val="21"/>
          <w:szCs w:val="21"/>
          <w:lang w:val="es-ES_tradnl"/>
        </w:rPr>
        <w:t>autoprescripción</w:t>
      </w:r>
      <w:proofErr w:type="spellEnd"/>
      <w:r w:rsidR="00087705" w:rsidRPr="00087705">
        <w:rPr>
          <w:rFonts w:cstheme="minorHAnsi"/>
          <w:b/>
          <w:sz w:val="21"/>
          <w:szCs w:val="21"/>
          <w:lang w:val="es-ES_tradnl"/>
        </w:rPr>
        <w:t xml:space="preserve"> y que no se recomendaría esta medida</w:t>
      </w:r>
      <w:r w:rsidR="00087705" w:rsidRPr="00087705">
        <w:rPr>
          <w:rFonts w:cstheme="minorHAnsi"/>
          <w:sz w:val="21"/>
          <w:szCs w:val="21"/>
          <w:lang w:val="es-ES_tradnl"/>
        </w:rPr>
        <w:t>, ya que sería contraproducente para preservar la salud pública.</w:t>
      </w:r>
      <w:r w:rsidR="00087705">
        <w:rPr>
          <w:rFonts w:cstheme="minorHAnsi"/>
          <w:sz w:val="21"/>
          <w:szCs w:val="21"/>
          <w:lang w:val="es-ES_tradnl"/>
        </w:rPr>
        <w:t xml:space="preserve"> </w:t>
      </w:r>
      <w:r w:rsidR="00087705" w:rsidRPr="00087705">
        <w:rPr>
          <w:rFonts w:cstheme="minorHAnsi"/>
          <w:b/>
          <w:sz w:val="21"/>
          <w:szCs w:val="21"/>
          <w:lang w:val="es-ES_tradnl"/>
        </w:rPr>
        <w:t>Esto significa que uno de los dos ministerios que está presentando esta medida tiene informa</w:t>
      </w:r>
      <w:r w:rsidR="00087705">
        <w:rPr>
          <w:rFonts w:cstheme="minorHAnsi"/>
          <w:b/>
          <w:sz w:val="21"/>
          <w:szCs w:val="21"/>
          <w:lang w:val="es-ES_tradnl"/>
        </w:rPr>
        <w:t>ción suficiente para no permitirla</w:t>
      </w:r>
      <w:r w:rsidR="00087705" w:rsidRPr="00087705">
        <w:rPr>
          <w:rFonts w:cstheme="minorHAnsi"/>
          <w:b/>
          <w:sz w:val="21"/>
          <w:szCs w:val="21"/>
          <w:lang w:val="es-ES_tradnl"/>
        </w:rPr>
        <w:t>.</w:t>
      </w:r>
      <w:bookmarkStart w:id="0" w:name="_GoBack"/>
      <w:bookmarkEnd w:id="0"/>
    </w:p>
    <w:sectPr w:rsidR="007555C1" w:rsidRPr="0008770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C4" w:rsidRDefault="007B67C4" w:rsidP="002E5F32">
      <w:pPr>
        <w:spacing w:after="0" w:line="240" w:lineRule="auto"/>
      </w:pPr>
      <w:r>
        <w:separator/>
      </w:r>
    </w:p>
  </w:endnote>
  <w:endnote w:type="continuationSeparator" w:id="0">
    <w:p w:rsidR="007B67C4" w:rsidRDefault="007B67C4" w:rsidP="002E5F32">
      <w:pPr>
        <w:spacing w:after="0" w:line="240" w:lineRule="auto"/>
      </w:pPr>
      <w:r>
        <w:continuationSeparator/>
      </w:r>
    </w:p>
  </w:endnote>
  <w:endnote w:id="1">
    <w:p w:rsidR="002E5F32" w:rsidRPr="009A54A0" w:rsidRDefault="002E5F32" w:rsidP="002E5F32">
      <w:pPr>
        <w:pStyle w:val="Textonotaalfinal"/>
        <w:rPr>
          <w:rFonts w:ascii="Arial" w:hAnsi="Arial" w:cs="Arial"/>
          <w:lang w:val="es-ES_tradnl"/>
        </w:rPr>
      </w:pPr>
      <w:r w:rsidRPr="009A54A0">
        <w:rPr>
          <w:rStyle w:val="Refdenotaalfinal"/>
          <w:rFonts w:ascii="Arial" w:hAnsi="Arial" w:cs="Arial"/>
        </w:rPr>
        <w:endnoteRef/>
      </w:r>
      <w:r w:rsidRPr="009A54A0">
        <w:rPr>
          <w:rFonts w:ascii="Arial" w:hAnsi="Arial" w:cs="Arial"/>
        </w:rPr>
        <w:t xml:space="preserve"> Carta del presidente de la Confederación Farmacéutica Argentina dirigida a la cámara de diputados de la Nación Argentina. </w:t>
      </w:r>
    </w:p>
  </w:endnote>
  <w:endnote w:id="2">
    <w:p w:rsidR="002E5F32" w:rsidRPr="002E5F32" w:rsidRDefault="002E5F32" w:rsidP="002E5F32">
      <w:pPr>
        <w:pStyle w:val="Textonotaalfinal"/>
        <w:rPr>
          <w:rFonts w:ascii="Arial" w:hAnsi="Arial" w:cs="Arial"/>
        </w:rPr>
      </w:pPr>
      <w:r w:rsidRPr="009A54A0">
        <w:rPr>
          <w:rStyle w:val="Refdenotaalfinal"/>
          <w:rFonts w:ascii="Arial" w:hAnsi="Arial" w:cs="Arial"/>
        </w:rPr>
        <w:endnoteRef/>
      </w:r>
      <w:r w:rsidRPr="009A54A0">
        <w:rPr>
          <w:rFonts w:ascii="Arial" w:hAnsi="Arial" w:cs="Arial"/>
          <w:lang w:val="en-US"/>
        </w:rPr>
        <w:t xml:space="preserve"> Drug-Related morbidity and mortality: updating the cost-of-illness model. </w:t>
      </w:r>
      <w:r w:rsidRPr="002E5F32">
        <w:rPr>
          <w:rFonts w:ascii="Arial" w:hAnsi="Arial" w:cs="Arial"/>
        </w:rPr>
        <w:t xml:space="preserve">J Am </w:t>
      </w:r>
      <w:proofErr w:type="spellStart"/>
      <w:r w:rsidRPr="002E5F32">
        <w:rPr>
          <w:rFonts w:ascii="Arial" w:hAnsi="Arial" w:cs="Arial"/>
        </w:rPr>
        <w:t>Pharm</w:t>
      </w:r>
      <w:proofErr w:type="spellEnd"/>
      <w:r w:rsidRPr="002E5F32">
        <w:rPr>
          <w:rFonts w:ascii="Arial" w:hAnsi="Arial" w:cs="Arial"/>
        </w:rPr>
        <w:t xml:space="preserve"> </w:t>
      </w:r>
      <w:proofErr w:type="spellStart"/>
      <w:r w:rsidRPr="002E5F32">
        <w:rPr>
          <w:rFonts w:ascii="Arial" w:hAnsi="Arial" w:cs="Arial"/>
        </w:rPr>
        <w:t>Assoc</w:t>
      </w:r>
      <w:proofErr w:type="spellEnd"/>
      <w:r w:rsidRPr="002E5F32">
        <w:rPr>
          <w:rFonts w:ascii="Arial" w:hAnsi="Arial" w:cs="Arial"/>
        </w:rPr>
        <w:t>. 2001 Mar-</w:t>
      </w:r>
      <w:proofErr w:type="spellStart"/>
      <w:r w:rsidRPr="002E5F32">
        <w:rPr>
          <w:rFonts w:ascii="Arial" w:hAnsi="Arial" w:cs="Arial"/>
        </w:rPr>
        <w:t>Apr</w:t>
      </w:r>
      <w:proofErr w:type="spellEnd"/>
      <w:r w:rsidRPr="002E5F32">
        <w:rPr>
          <w:rFonts w:ascii="Arial" w:hAnsi="Arial" w:cs="Arial"/>
        </w:rPr>
        <w:t>; 41 (2): 156-7</w:t>
      </w:r>
    </w:p>
    <w:p w:rsidR="002E5F32" w:rsidRPr="002E5F32" w:rsidRDefault="002E5F32" w:rsidP="002E5F32">
      <w:pPr>
        <w:pStyle w:val="Textonotaalfinal"/>
        <w:rPr>
          <w:rFonts w:ascii="Arial" w:hAnsi="Arial" w:cs="Arial"/>
        </w:rPr>
      </w:pPr>
    </w:p>
  </w:endnote>
  <w:endnote w:id="3">
    <w:p w:rsidR="002E5F32" w:rsidRPr="009A54A0" w:rsidRDefault="002E5F32" w:rsidP="002E5F32">
      <w:pPr>
        <w:spacing w:line="240" w:lineRule="auto"/>
        <w:jc w:val="both"/>
        <w:rPr>
          <w:rFonts w:ascii="Arial" w:hAnsi="Arial" w:cs="Arial"/>
          <w:sz w:val="20"/>
          <w:szCs w:val="20"/>
          <w:lang w:val="es-ES_tradnl"/>
        </w:rPr>
      </w:pPr>
      <w:r w:rsidRPr="009A54A0">
        <w:rPr>
          <w:rStyle w:val="Refdenotaalfinal"/>
          <w:rFonts w:ascii="Arial" w:hAnsi="Arial" w:cs="Arial"/>
          <w:sz w:val="20"/>
          <w:szCs w:val="20"/>
        </w:rPr>
        <w:endnoteRef/>
      </w:r>
      <w:r w:rsidRPr="009A54A0">
        <w:rPr>
          <w:rFonts w:ascii="Arial" w:hAnsi="Arial" w:cs="Arial"/>
          <w:sz w:val="20"/>
          <w:szCs w:val="20"/>
        </w:rPr>
        <w:t xml:space="preserve"> </w:t>
      </w:r>
      <w:r w:rsidRPr="009A54A0">
        <w:rPr>
          <w:rFonts w:ascii="Arial" w:hAnsi="Arial" w:cs="Arial"/>
          <w:sz w:val="20"/>
          <w:szCs w:val="20"/>
          <w:lang w:val="es-ES_tradnl"/>
        </w:rPr>
        <w:t xml:space="preserve">Casos de Exposiciones humanas por categoría del agente y rango etario. Centro de Información Toxicológica, Pontifica Universidad Católica de Chile. </w:t>
      </w:r>
    </w:p>
  </w:endnote>
  <w:endnote w:id="4">
    <w:p w:rsidR="002E5F32" w:rsidRPr="009A54A0" w:rsidRDefault="002E5F32" w:rsidP="002E5F32">
      <w:pPr>
        <w:spacing w:line="240" w:lineRule="auto"/>
        <w:jc w:val="both"/>
        <w:rPr>
          <w:rFonts w:ascii="Arial" w:hAnsi="Arial" w:cs="Arial"/>
          <w:sz w:val="20"/>
          <w:szCs w:val="20"/>
          <w:lang w:val="es-ES_tradnl"/>
        </w:rPr>
      </w:pPr>
      <w:r w:rsidRPr="009A54A0">
        <w:rPr>
          <w:rStyle w:val="Refdenotaalfinal"/>
          <w:rFonts w:ascii="Arial" w:hAnsi="Arial" w:cs="Arial"/>
          <w:sz w:val="20"/>
          <w:szCs w:val="20"/>
        </w:rPr>
        <w:endnoteRef/>
      </w:r>
      <w:r w:rsidRPr="009A54A0">
        <w:rPr>
          <w:rFonts w:ascii="Arial" w:hAnsi="Arial" w:cs="Arial"/>
          <w:sz w:val="20"/>
          <w:szCs w:val="20"/>
          <w:lang w:val="es-ES"/>
        </w:rPr>
        <w:t xml:space="preserve"> </w:t>
      </w:r>
      <w:proofErr w:type="spellStart"/>
      <w:r w:rsidRPr="009A54A0">
        <w:rPr>
          <w:rFonts w:ascii="Arial" w:hAnsi="Arial" w:cs="Arial"/>
          <w:sz w:val="20"/>
          <w:szCs w:val="20"/>
          <w:lang w:val="es-ES_tradnl"/>
        </w:rPr>
        <w:t>Chilean</w:t>
      </w:r>
      <w:proofErr w:type="spellEnd"/>
      <w:r w:rsidRPr="009A54A0">
        <w:rPr>
          <w:rFonts w:ascii="Arial" w:hAnsi="Arial" w:cs="Arial"/>
          <w:sz w:val="20"/>
          <w:szCs w:val="20"/>
          <w:lang w:val="es-ES_tradnl"/>
        </w:rPr>
        <w:t xml:space="preserve"> </w:t>
      </w:r>
      <w:proofErr w:type="spellStart"/>
      <w:r w:rsidRPr="009A54A0">
        <w:rPr>
          <w:rFonts w:ascii="Arial" w:hAnsi="Arial" w:cs="Arial"/>
          <w:sz w:val="20"/>
          <w:szCs w:val="20"/>
          <w:lang w:val="es-ES_tradnl"/>
        </w:rPr>
        <w:t>pharmacovigilance</w:t>
      </w:r>
      <w:proofErr w:type="spellEnd"/>
      <w:r w:rsidRPr="009A54A0">
        <w:rPr>
          <w:rFonts w:ascii="Arial" w:hAnsi="Arial" w:cs="Arial"/>
          <w:sz w:val="20"/>
          <w:szCs w:val="20"/>
          <w:lang w:val="es-ES_tradnl"/>
        </w:rPr>
        <w:t xml:space="preserve"> programe. </w:t>
      </w:r>
      <w:r w:rsidRPr="009A54A0">
        <w:rPr>
          <w:rFonts w:ascii="Arial" w:hAnsi="Arial" w:cs="Arial"/>
          <w:sz w:val="20"/>
          <w:szCs w:val="20"/>
          <w:lang w:val="en-US"/>
        </w:rPr>
        <w:t xml:space="preserve">Head national drug information and </w:t>
      </w:r>
      <w:proofErr w:type="spellStart"/>
      <w:r w:rsidRPr="009A54A0">
        <w:rPr>
          <w:rFonts w:ascii="Arial" w:hAnsi="Arial" w:cs="Arial"/>
          <w:sz w:val="20"/>
          <w:szCs w:val="20"/>
          <w:lang w:val="en-US"/>
        </w:rPr>
        <w:t>pharmacovigilance</w:t>
      </w:r>
      <w:proofErr w:type="spellEnd"/>
      <w:r w:rsidRPr="009A54A0">
        <w:rPr>
          <w:rFonts w:ascii="Arial" w:hAnsi="Arial" w:cs="Arial"/>
          <w:sz w:val="20"/>
          <w:szCs w:val="20"/>
          <w:lang w:val="en-US"/>
        </w:rPr>
        <w:t xml:space="preserve"> </w:t>
      </w:r>
      <w:proofErr w:type="spellStart"/>
      <w:r w:rsidRPr="009A54A0">
        <w:rPr>
          <w:rFonts w:ascii="Arial" w:hAnsi="Arial" w:cs="Arial"/>
          <w:sz w:val="20"/>
          <w:szCs w:val="20"/>
          <w:lang w:val="en-US"/>
        </w:rPr>
        <w:t>centre</w:t>
      </w:r>
      <w:proofErr w:type="spellEnd"/>
      <w:r w:rsidRPr="009A54A0">
        <w:rPr>
          <w:rFonts w:ascii="Arial" w:hAnsi="Arial" w:cs="Arial"/>
          <w:sz w:val="20"/>
          <w:szCs w:val="20"/>
          <w:lang w:val="en-US"/>
        </w:rPr>
        <w:t xml:space="preserve">. </w:t>
      </w:r>
      <w:r w:rsidRPr="009A54A0">
        <w:rPr>
          <w:rFonts w:ascii="Arial" w:hAnsi="Arial" w:cs="Arial"/>
          <w:sz w:val="20"/>
          <w:szCs w:val="20"/>
          <w:lang w:val="es-ES_tradnl"/>
        </w:rPr>
        <w:t xml:space="preserve">Disponible en </w:t>
      </w:r>
      <w:hyperlink r:id="rId1" w:history="1">
        <w:r w:rsidRPr="009A54A0">
          <w:rPr>
            <w:rFonts w:ascii="Arial" w:hAnsi="Arial" w:cs="Arial"/>
            <w:sz w:val="20"/>
            <w:szCs w:val="20"/>
            <w:lang w:val="es-ES_tradnl"/>
          </w:rPr>
          <w:t>http://www.who-umc.org/graphics/22367.pdf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C4" w:rsidRDefault="007B67C4" w:rsidP="002E5F32">
      <w:pPr>
        <w:spacing w:after="0" w:line="240" w:lineRule="auto"/>
      </w:pPr>
      <w:r>
        <w:separator/>
      </w:r>
    </w:p>
  </w:footnote>
  <w:footnote w:type="continuationSeparator" w:id="0">
    <w:p w:rsidR="007B67C4" w:rsidRDefault="007B67C4" w:rsidP="002E5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FD3"/>
    <w:multiLevelType w:val="hybridMultilevel"/>
    <w:tmpl w:val="C61E26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32"/>
    <w:rsid w:val="00087705"/>
    <w:rsid w:val="00184806"/>
    <w:rsid w:val="0020284E"/>
    <w:rsid w:val="002E5F32"/>
    <w:rsid w:val="00377B2E"/>
    <w:rsid w:val="0048144C"/>
    <w:rsid w:val="006B3273"/>
    <w:rsid w:val="007555C1"/>
    <w:rsid w:val="007B67C4"/>
    <w:rsid w:val="007D7358"/>
    <w:rsid w:val="00A547DB"/>
    <w:rsid w:val="00B570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2E5F3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5F32"/>
    <w:rPr>
      <w:sz w:val="20"/>
      <w:szCs w:val="20"/>
    </w:rPr>
  </w:style>
  <w:style w:type="character" w:styleId="Refdenotaalfinal">
    <w:name w:val="endnote reference"/>
    <w:basedOn w:val="Fuentedeprrafopredeter"/>
    <w:uiPriority w:val="99"/>
    <w:semiHidden/>
    <w:unhideWhenUsed/>
    <w:rsid w:val="002E5F32"/>
    <w:rPr>
      <w:vertAlign w:val="superscript"/>
    </w:rPr>
  </w:style>
  <w:style w:type="character" w:styleId="Hipervnculo">
    <w:name w:val="Hyperlink"/>
    <w:basedOn w:val="Fuentedeprrafopredeter"/>
    <w:uiPriority w:val="99"/>
    <w:unhideWhenUsed/>
    <w:rsid w:val="002E5F32"/>
    <w:rPr>
      <w:color w:val="0000FF" w:themeColor="hyperlink"/>
      <w:u w:val="single"/>
    </w:rPr>
  </w:style>
  <w:style w:type="paragraph" w:styleId="Prrafodelista">
    <w:name w:val="List Paragraph"/>
    <w:basedOn w:val="Normal"/>
    <w:uiPriority w:val="34"/>
    <w:qFormat/>
    <w:rsid w:val="00755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2E5F3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5F32"/>
    <w:rPr>
      <w:sz w:val="20"/>
      <w:szCs w:val="20"/>
    </w:rPr>
  </w:style>
  <w:style w:type="character" w:styleId="Refdenotaalfinal">
    <w:name w:val="endnote reference"/>
    <w:basedOn w:val="Fuentedeprrafopredeter"/>
    <w:uiPriority w:val="99"/>
    <w:semiHidden/>
    <w:unhideWhenUsed/>
    <w:rsid w:val="002E5F32"/>
    <w:rPr>
      <w:vertAlign w:val="superscript"/>
    </w:rPr>
  </w:style>
  <w:style w:type="character" w:styleId="Hipervnculo">
    <w:name w:val="Hyperlink"/>
    <w:basedOn w:val="Fuentedeprrafopredeter"/>
    <w:uiPriority w:val="99"/>
    <w:unhideWhenUsed/>
    <w:rsid w:val="002E5F32"/>
    <w:rPr>
      <w:color w:val="0000FF" w:themeColor="hyperlink"/>
      <w:u w:val="single"/>
    </w:rPr>
  </w:style>
  <w:style w:type="paragraph" w:styleId="Prrafodelista">
    <w:name w:val="List Paragraph"/>
    <w:basedOn w:val="Normal"/>
    <w:uiPriority w:val="34"/>
    <w:qFormat/>
    <w:rsid w:val="00755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who-umc.org/graphics/2236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894</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Niki</cp:lastModifiedBy>
  <cp:revision>1</cp:revision>
  <dcterms:created xsi:type="dcterms:W3CDTF">2011-06-03T01:47:00Z</dcterms:created>
  <dcterms:modified xsi:type="dcterms:W3CDTF">2011-06-03T03:44:00Z</dcterms:modified>
</cp:coreProperties>
</file>